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  <w:lang w:val="sr-RS"/>
        </w:rPr>
        <w:t>Епидемиолошки подаци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  <w:lang w:val="sr-R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  <w:t xml:space="preserve">Рак грлића материце, скоро деценију, представља озбиљан јавноздравствени проблем у Србији.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  <w:t xml:space="preserve">Према подацима Регистра за рак, Института ,, Батут``, сваке године се у просеку региструје 1.244 новооболеле жене од рака грлића материце. Просечна стандардизована стопа инциденције (на популацију Европе) је износила 28,4 на 100.000 жена.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  <w:t xml:space="preserve">Када говоримо о умирању, сваке године у просеку 482 жене изгубе живот од ове врсте рака, за коју са сигурношћу знамо,  да припада групи најпревентабилнијих. И просечна стандардизована стопа морталитета (на популацију Европе) је износила 9,7 на 100.000 жена.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  <w:t xml:space="preserve">Само током 2013. године регистровано је 1.136 новооболелих жена свих узраста од рака грлића материце и стандардизована стопа инциденције(на популацију Европе) је износила 27,8 на 100.000 жена. Током исте године, 468 жена је у Србији умрло од ове врсте рака и стандардизована стопа морталитета (на популацију Европе) је износила 9,2 на 100.000 жена.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  <w:t>Када говоримо оболевању највише стандардизоване стопе инциденције су током 2013. године регистроване у Борском, Јабланичком, Средње банатском, Пчињском и Мачванском округу, а најниже у Рашком, Јужнобанатском, Севернобанатском, Златиборском и  Пиротском округу. (Табела1.)</w:t>
      </w:r>
    </w:p>
    <w:p>
      <w:pPr>
        <w:pStyle w:val="Normal"/>
        <w:spacing w:lineRule="auto" w:line="360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  <w:t>Табела 1. Стандардизоване стопе инциденције (*на популацију Европе) рака грлића материце, по окрузима у Републици Србији, 2013. година</w:t>
      </w:r>
    </w:p>
    <w:p>
      <w:pPr>
        <w:pStyle w:val="Normal"/>
        <w:spacing w:lineRule="auto" w:line="360"/>
        <w:jc w:val="both"/>
        <w:rPr/>
      </w:pPr>
      <w:r>
        <w:rPr/>
        <w:drawing>
          <wp:inline distT="0" distB="0" distL="0" distR="0">
            <wp:extent cx="5383530" cy="726630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  <w:t>У случају умирања, више стандардизоване стопе морталитета  од просечне у Републици Србији су регистроване у Браничевском,  Јужно банатском, Колубарском, Јужно бачком и Шумадијском округу. Најниже стандардизоване стопе морталитета су током 2013. Године регистроване у   Пиротском, Расинском, Сремском, Топличком и Западно бачком округу. (Табела 2.)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  <w:t>Табела 2. Стандардизоване стопе морталитета (*на популацију Европе) рака грлића материце, по окрузима у Републици Србији, 2013. година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</w:r>
    </w:p>
    <w:p>
      <w:pPr>
        <w:pStyle w:val="Normal"/>
        <w:spacing w:lineRule="auto" w:line="360"/>
        <w:jc w:val="both"/>
        <w:rPr/>
      </w:pPr>
      <w:r>
        <w:rPr/>
        <w:drawing>
          <wp:inline distT="0" distB="0" distL="0" distR="0">
            <wp:extent cx="5567680" cy="412750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  <w:t>На основу регистрованих стопа и оболевања и умирања као и на основу процена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  <w:lang w:val="sr-RS"/>
        </w:rPr>
        <w:t>Међународне агенције за истраживање рака (IARC)  која периодично, у сарадњи са Европском мрежом регистара за рак (ENCR) објављује  извештаје о оптерећењу раком у Европском региону, Србија се и даље налази у групи земаља са највишим стопама оболевања и умирања у Европи.</w:t>
      </w:r>
      <w:r>
        <w:rPr>
          <w:rFonts w:ascii="Times New Roman" w:hAnsi="Times New Roman"/>
          <w:shd w:fill="FFFFFF" w:val="clear"/>
        </w:rPr>
        <w:t xml:space="preserve"> 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sz w:val="24"/>
          <w:szCs w:val="24"/>
          <w:shd w:fill="FFFFFF" w:val="clear"/>
          <w:lang w:val="sr-RS"/>
        </w:rPr>
        <w:t>Када је реч о оболевању од рака грлића материце, Србија се налази на четвртом месту у Европи, после Румуније, Литваније и Бугарске. Нажалост, наша земља се по умирању од ове врсте рака код жена, налази на другом месту у Европи, одмах после Румуније.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b="1">
                <a:solidFill>
                  <a:srgbClr val="000000"/>
                </a:solidFill>
                <a:latin typeface="Calibri"/>
              </a:rPr>
              <a:t>ASR(E)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ASR(E)</c:v>
                </c:pt>
              </c:strCache>
            </c:strRef>
          </c:tx>
          <c:spPr>
            <a:solidFill>
              <a:srgbClr val="4f81bd"/>
            </a:solidFill>
            <a:ln>
              <a:solidFill>
                <a:srgbClr val="ff0000"/>
              </a:solidFill>
            </a:ln>
          </c:spPr>
          <c:cat>
            <c:strRef>
              <c:f>categories</c:f>
              <c:strCache>
                <c:ptCount val="25"/>
                <c:pt idx="0">
                  <c:v>Борски </c:v>
                </c:pt>
                <c:pt idx="1">
                  <c:v>Јабланички </c:v>
                </c:pt>
                <c:pt idx="2">
                  <c:v>Средње банатски</c:v>
                </c:pt>
                <c:pt idx="3">
                  <c:v>Пчињски </c:v>
                </c:pt>
                <c:pt idx="4">
                  <c:v>Мачвански </c:v>
                </c:pt>
                <c:pt idx="5">
                  <c:v>Колубарски </c:v>
                </c:pt>
                <c:pt idx="6">
                  <c:v>Моравички </c:v>
                </c:pt>
                <c:pt idx="7">
                  <c:v>Зајечарски </c:v>
                </c:pt>
                <c:pt idx="8">
                  <c:v>Шумадијски </c:v>
                </c:pt>
                <c:pt idx="9">
                  <c:v>Топлички </c:v>
                </c:pt>
                <c:pt idx="10">
                  <c:v>Нишавски </c:v>
                </c:pt>
                <c:pt idx="11">
                  <c:v>Расински </c:v>
                </c:pt>
                <c:pt idx="12">
                  <c:v>Подунавски </c:v>
                </c:pt>
                <c:pt idx="13">
                  <c:v>Браничевски </c:v>
                </c:pt>
                <c:pt idx="14">
                  <c:v>Јужно бачки</c:v>
                </c:pt>
                <c:pt idx="15">
                  <c:v>Западно бачки</c:v>
                </c:pt>
                <c:pt idx="16">
                  <c:v>Северно бачки</c:v>
                </c:pt>
                <c:pt idx="17">
                  <c:v>Град Београд</c:v>
                </c:pt>
                <c:pt idx="18">
                  <c:v>Сремски</c:v>
                </c:pt>
                <c:pt idx="19">
                  <c:v>Поморавски </c:v>
                </c:pt>
                <c:pt idx="20">
                  <c:v>Рашки </c:v>
                </c:pt>
                <c:pt idx="21">
                  <c:v>Јужно банатски</c:v>
                </c:pt>
                <c:pt idx="22">
                  <c:v>Северно банатски</c:v>
                </c:pt>
                <c:pt idx="23">
                  <c:v>Златиборски </c:v>
                </c:pt>
                <c:pt idx="24">
                  <c:v>Пиротски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5"/>
                <c:pt idx="0">
                  <c:v>50.7487563815114</c:v>
                </c:pt>
                <c:pt idx="1">
                  <c:v>40.606402980989</c:v>
                </c:pt>
                <c:pt idx="2">
                  <c:v>40.2323665457709</c:v>
                </c:pt>
                <c:pt idx="3">
                  <c:v>38.780653456406</c:v>
                </c:pt>
                <c:pt idx="4">
                  <c:v>36.9065391585609</c:v>
                </c:pt>
                <c:pt idx="5">
                  <c:v>34.6135187445414</c:v>
                </c:pt>
                <c:pt idx="6">
                  <c:v>34.5183847581334</c:v>
                </c:pt>
                <c:pt idx="7">
                  <c:v>34.0336382894277</c:v>
                </c:pt>
                <c:pt idx="8">
                  <c:v>33.6599058847973</c:v>
                </c:pt>
                <c:pt idx="9">
                  <c:v>30.1282725372329</c:v>
                </c:pt>
                <c:pt idx="10">
                  <c:v>28.5863765229026</c:v>
                </c:pt>
                <c:pt idx="11">
                  <c:v>26.6248005400936</c:v>
                </c:pt>
                <c:pt idx="12">
                  <c:v>26.1925256143154</c:v>
                </c:pt>
                <c:pt idx="13">
                  <c:v>26.1296631674136</c:v>
                </c:pt>
                <c:pt idx="14">
                  <c:v>25.3750823077192</c:v>
                </c:pt>
                <c:pt idx="15">
                  <c:v>23.6304040631254</c:v>
                </c:pt>
                <c:pt idx="16">
                  <c:v>21.6654755063502</c:v>
                </c:pt>
                <c:pt idx="17">
                  <c:v>21.6642612334273</c:v>
                </c:pt>
                <c:pt idx="18">
                  <c:v>21.1579077748217</c:v>
                </c:pt>
                <c:pt idx="19">
                  <c:v>18.3265710448523</c:v>
                </c:pt>
                <c:pt idx="20">
                  <c:v>17.2997608421215</c:v>
                </c:pt>
                <c:pt idx="21">
                  <c:v>17.2855516382515</c:v>
                </c:pt>
                <c:pt idx="22">
                  <c:v>15.3241418700415</c:v>
                </c:pt>
                <c:pt idx="23">
                  <c:v>11.3051351931528</c:v>
                </c:pt>
                <c:pt idx="24">
                  <c:v>10.5134060513654</c:v>
                </c:pt>
              </c:numCache>
            </c:numRef>
          </c:val>
        </c:ser>
        <c:gapWidth val="150"/>
        <c:axId val="22745734"/>
        <c:axId val="34918655"/>
      </c:barChart>
      <c:catAx>
        <c:axId val="2274573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34918655"/>
        <c:crossesAt val="0"/>
        <c:auto val="1"/>
        <c:lblAlgn val="ctr"/>
        <c:lblOffset val="100"/>
      </c:catAx>
      <c:valAx>
        <c:axId val="34918655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22745734"/>
        <c:crossesAt val="0"/>
      </c:valAx>
      <c:spPr>
        <a:solidFill>
          <a:srgbClr val="ffffff"/>
        </a:solidFill>
        <a:ln>
          <a:noFill/>
        </a:ln>
      </c:spPr>
    </c:plotArea>
    <c:plotVisOnly val="1"/>
  </c:chart>
  <c:spPr>
    <a:noFill/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b="1">
                <a:solidFill>
                  <a:srgbClr val="000000"/>
                </a:solidFill>
                <a:latin typeface="Calibri"/>
              </a:rPr>
              <a:t>ASR(E)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ASR(E)</c:v>
                </c:pt>
              </c:strCache>
            </c:strRef>
          </c:tx>
          <c:spPr>
            <a:solidFill>
              <a:srgbClr val="4f81bd"/>
            </a:solidFill>
            <a:ln>
              <a:solidFill>
                <a:srgbClr val="00b050"/>
              </a:solidFill>
            </a:ln>
          </c:spPr>
          <c:cat>
            <c:strRef>
              <c:f>categories</c:f>
              <c:strCache>
                <c:ptCount val="25"/>
                <c:pt idx="0">
                  <c:v>Браничевски </c:v>
                </c:pt>
                <c:pt idx="1">
                  <c:v>Јужно банатски</c:v>
                </c:pt>
                <c:pt idx="2">
                  <c:v>Колубарски </c:v>
                </c:pt>
                <c:pt idx="3">
                  <c:v>Јужно бачки</c:v>
                </c:pt>
                <c:pt idx="4">
                  <c:v>Шумадијски </c:v>
                </c:pt>
                <c:pt idx="5">
                  <c:v>Борски </c:v>
                </c:pt>
                <c:pt idx="6">
                  <c:v>Подунавски </c:v>
                </c:pt>
                <c:pt idx="7">
                  <c:v>Северно бачки</c:v>
                </c:pt>
                <c:pt idx="8">
                  <c:v>Мачвански </c:v>
                </c:pt>
                <c:pt idx="9">
                  <c:v>Златиборски </c:v>
                </c:pt>
                <c:pt idx="10">
                  <c:v>Нишавски </c:v>
                </c:pt>
                <c:pt idx="11">
                  <c:v>Пчињски </c:v>
                </c:pt>
                <c:pt idx="12">
                  <c:v>Моравички </c:v>
                </c:pt>
                <c:pt idx="13">
                  <c:v>Средње банатски</c:v>
                </c:pt>
                <c:pt idx="14">
                  <c:v>Северно банатски</c:v>
                </c:pt>
                <c:pt idx="15">
                  <c:v>Град Београд</c:v>
                </c:pt>
                <c:pt idx="16">
                  <c:v>Јабланички </c:v>
                </c:pt>
                <c:pt idx="17">
                  <c:v>Поморавски </c:v>
                </c:pt>
                <c:pt idx="18">
                  <c:v>Рашки </c:v>
                </c:pt>
                <c:pt idx="19">
                  <c:v>Зајечарски </c:v>
                </c:pt>
                <c:pt idx="20">
                  <c:v>Пиротски </c:v>
                </c:pt>
                <c:pt idx="21">
                  <c:v>Расински </c:v>
                </c:pt>
                <c:pt idx="22">
                  <c:v>Сремски</c:v>
                </c:pt>
                <c:pt idx="23">
                  <c:v>Топлички </c:v>
                </c:pt>
                <c:pt idx="24">
                  <c:v>Западно бачки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5"/>
                <c:pt idx="0">
                  <c:v>14.5779084332549</c:v>
                </c:pt>
                <c:pt idx="1">
                  <c:v>13.2283416973519</c:v>
                </c:pt>
                <c:pt idx="2">
                  <c:v>11.7241607149221</c:v>
                </c:pt>
                <c:pt idx="3">
                  <c:v>11.4577054996008</c:v>
                </c:pt>
                <c:pt idx="4">
                  <c:v>11.3852425675069</c:v>
                </c:pt>
                <c:pt idx="5">
                  <c:v>11.3169649193017</c:v>
                </c:pt>
                <c:pt idx="6">
                  <c:v>11.0860133732696</c:v>
                </c:pt>
                <c:pt idx="7">
                  <c:v>11.0395895804548</c:v>
                </c:pt>
                <c:pt idx="8">
                  <c:v>10.7806183300229</c:v>
                </c:pt>
                <c:pt idx="9">
                  <c:v>10.5508969533538</c:v>
                </c:pt>
                <c:pt idx="10">
                  <c:v>10.5440056538566</c:v>
                </c:pt>
                <c:pt idx="11">
                  <c:v>9.97567759110298</c:v>
                </c:pt>
                <c:pt idx="12">
                  <c:v>9.77504501717226</c:v>
                </c:pt>
                <c:pt idx="13">
                  <c:v>9.27976809678093</c:v>
                </c:pt>
                <c:pt idx="14">
                  <c:v>8.99431758053837</c:v>
                </c:pt>
                <c:pt idx="15">
                  <c:v>8.74386612316361</c:v>
                </c:pt>
                <c:pt idx="16">
                  <c:v>7.91210228044281</c:v>
                </c:pt>
                <c:pt idx="17">
                  <c:v>6.38330097061952</c:v>
                </c:pt>
                <c:pt idx="18">
                  <c:v>6.0939715146643</c:v>
                </c:pt>
                <c:pt idx="19">
                  <c:v>5.48683692969077</c:v>
                </c:pt>
                <c:pt idx="20">
                  <c:v>5.47193139974189</c:v>
                </c:pt>
                <c:pt idx="21">
                  <c:v>5.37562115441104</c:v>
                </c:pt>
                <c:pt idx="22">
                  <c:v>4.43303447952095</c:v>
                </c:pt>
                <c:pt idx="23">
                  <c:v>3.52282887167451</c:v>
                </c:pt>
                <c:pt idx="24">
                  <c:v>2.72621441524386</c:v>
                </c:pt>
              </c:numCache>
            </c:numRef>
          </c:val>
        </c:ser>
        <c:gapWidth val="150"/>
        <c:axId val="39355067"/>
        <c:axId val="93414155"/>
      </c:barChart>
      <c:catAx>
        <c:axId val="39355067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93414155"/>
        <c:crossesAt val="0"/>
        <c:auto val="1"/>
        <c:lblAlgn val="ctr"/>
        <c:lblOffset val="100"/>
      </c:catAx>
      <c:valAx>
        <c:axId val="93414155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39355067"/>
        <c:crossesAt val="0"/>
      </c:valAx>
      <c:spPr>
        <a:solidFill>
          <a:srgbClr val="ffffff"/>
        </a:solidFill>
        <a:ln>
          <a:noFill/>
        </a:ln>
      </c:spPr>
    </c:plotArea>
    <c:plotVisOnly val="1"/>
  </c:chart>
  <c:spPr>
    <a:noFill/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2016-01-13T10:21:00Z</dcterms:created>
  <dc:creator>Snezana SZ. Zivkovic</dc:creator>
  <dc:language>en-US</dc:language>
  <cp:lastModifiedBy>Snezana SZ. Zivkovic</cp:lastModifiedBy>
  <dcterms:modified xsi:type="dcterms:W3CDTF">2016-01-13T10:21:00Z</dcterms:modified>
  <cp:revision>2</cp:revision>
</cp:coreProperties>
</file>